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32C31F07"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w:t>
      </w:r>
      <w:r w:rsidR="004F1D49" w:rsidRPr="004F1D49">
        <w:rPr>
          <w:bCs/>
          <w:sz w:val="24"/>
          <w:szCs w:val="24"/>
          <w:vertAlign w:val="superscript"/>
        </w:rPr>
        <w:t>1</w:t>
      </w:r>
      <w:r w:rsidRPr="00602B03">
        <w:rPr>
          <w:bCs/>
          <w:sz w:val="24"/>
          <w:szCs w:val="24"/>
        </w:rPr>
        <w:t>r,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4F1D49">
        <w:rPr>
          <w:bCs/>
          <w:sz w:val="24"/>
          <w:szCs w:val="24"/>
        </w:rPr>
        <w:t>,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7FED7373"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Princeton Plasma Physics Laboratory, Princeton, New Jersey, 08543</w:t>
      </w:r>
    </w:p>
    <w:p w14:paraId="00D00470" w14:textId="77777777" w:rsidR="00B91178" w:rsidRDefault="00087E2C">
      <w:pPr>
        <w:ind w:firstLine="0"/>
        <w:rPr>
          <w:b/>
        </w:rPr>
      </w:pPr>
      <w:r>
        <w:rPr>
          <w:b/>
        </w:rPr>
        <w:t>Abstract</w:t>
      </w:r>
    </w:p>
    <w:p w14:paraId="4746EA9E" w14:textId="64426814"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77777777"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 The NSTX-U device</w:t>
      </w:r>
      <w:r w:rsidR="005541EC">
        <w:t>[ref]</w:t>
      </w:r>
      <w:r>
        <w:t>, with its distinctive high-beta and low-collisionality conditions, provides an ideal platform for investigating electron-scale turbulence. This study will systematically explore how turbulence characteristics vary with essential parameters such as collisionality, the q-profile, and E</w:t>
      </w:r>
      <w:r w:rsidR="005541EC">
        <w:t xml:space="preserve"> </w:t>
      </w:r>
      <w:r>
        <w:t>×</w:t>
      </w:r>
      <w:r w:rsidR="005541EC">
        <w:t xml:space="preserve"> </w:t>
      </w:r>
      <w:r>
        <w:t xml:space="preserve">B shear, aiming to identify the mechanisms that govern confinement scaling. </w:t>
      </w:r>
    </w:p>
    <w:p w14:paraId="1E7759A2" w14:textId="2103A27D" w:rsidR="00B91178" w:rsidRPr="005541EC" w:rsidRDefault="00087E2C" w:rsidP="005541EC">
      <w:pPr>
        <w:jc w:val="both"/>
        <w:rPr>
          <w:rFonts w:eastAsia="Calibri"/>
        </w:rPr>
      </w:pPr>
      <w:r>
        <w:t>An essential diagnostics system in this investigation is the 693 GHz, 8-channel millimeter-wave poloidal scattering system</w:t>
      </w:r>
      <w:r w:rsidR="005541EC">
        <w:t>[ref]</w:t>
      </w:r>
      <w:r>
        <w:t>,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 and other electron-scale turbulence spectra.</w:t>
      </w:r>
      <w:r w:rsidR="005541EC">
        <w:rPr>
          <w:rFonts w:eastAsia="Calibri" w:hint="eastAsia"/>
        </w:rPr>
        <w:t xml:space="preserve"> </w:t>
      </w:r>
      <w:r w:rsidR="005541EC" w:rsidRPr="005541EC">
        <w:rPr>
          <w:rFonts w:eastAsia="Calibri"/>
        </w:rPr>
        <w:t>Compared to millimeter-wave diagnostics</w:t>
      </w:r>
      <w:r w:rsidR="005541EC">
        <w:rPr>
          <w:rFonts w:eastAsia="Calibri" w:hint="eastAsia"/>
        </w:rPr>
        <w:t xml:space="preserve"> [refs]</w:t>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5541EC">
        <w:rPr>
          <w:rFonts w:eastAsia="Calibri"/>
        </w:rPr>
        <w:t>ragne</w:t>
      </w:r>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xml:space="preserve">), which drives rotational transitions to generate the 693 GHz FIR signal. The output beam is coupled into a waveguide and directed to the launch optics, where adjustable mirrors allow precise beam steering for various measurement configurations. </w:t>
      </w:r>
      <w:r w:rsidR="00C51FD6" w:rsidRPr="00C51FD6">
        <w:lastRenderedPageBreak/>
        <w:t>Compared to millimeter-wave diagnostics,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9309AC">
        <w:rPr>
          <w:rFonts w:hint="eastAsia"/>
        </w:rPr>
        <w:t xml:space="preserve"> [ref]</w:t>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138DBB9B" w:rsidR="00B91178" w:rsidRDefault="00087E2C">
      <w:pPr>
        <w:jc w:val="both"/>
      </w:pPr>
      <w:r>
        <w:t xml:space="preserve">This paper focuses on optimizing the performance of a 693 GHz far-infrared (FIR) laser through precision optics alignment and cavity length feedback control. The system is driven by a CO₂ pump laser, and its output beam quality is important for high poloidal wavenumber scattering diagnostics. Section 2 reviews the FIR laser setup, while Sec. 3 presents beam </w:t>
      </w:r>
      <w:r w:rsidR="009309AC">
        <w:t>profile</w:t>
      </w:r>
      <w:r>
        <w:t xml:space="preserve"> optimization by optics alignment. Sec</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6110A4C6" w:rsidR="00B91178" w:rsidRDefault="00087E2C">
      <w:pPr>
        <w:jc w:val="both"/>
      </w:pPr>
      <w:r>
        <w:t>The 693 GHz far-infrared (FIR) laser serves as the launch beam source for the NSTX-U high-k scattering diagnostics. This laser is optically pumped by a 150 W CO₂ laser with a linearly polarized beam. The CO₂ laser beam is injected into the FIR laser cavity, which is filled with formic acid (HCOOH)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22C2F37E" w14:textId="77777777"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(2) The laser system setup in the laboratory</w:t>
      </w:r>
    </w:p>
    <w:p w14:paraId="3571A96F" w14:textId="77777777"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w:t>
      </w:r>
      <w:proofErr w:type="gramStart"/>
      <w:r>
        <w:t>40 mA</w:t>
      </w:r>
      <w:proofErr w:type="gramEnd"/>
      <w:r>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xml:space="preserve">)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0E1B5B16" w:rsidR="00B91178" w:rsidRDefault="00087E2C">
      <w:pPr>
        <w:jc w:val="both"/>
      </w:pPr>
      <w:r>
        <w:t>The schematic of the FIR system is presented in Fig. 3. It comprises four key components: a rear mirror, a dielectric waveguide tube,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xml:space="preserve">, which </w:t>
      </w:r>
      <w:r>
        <w:t xml:space="preserve">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 dielectric waveguide tube,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14:paraId="6DADBA33" w14:textId="23EB0173" w:rsidR="009309AC" w:rsidRDefault="009309AC" w:rsidP="009309AC">
      <w:pPr>
        <w:jc w:val="both"/>
      </w:pPr>
      <w:bookmarkStart w:id="4" w:name="_heading=h.awxv3lhkuv3" w:colFirst="0" w:colLast="0"/>
      <w:bookmarkEnd w:id="4"/>
      <w:r>
        <w:rPr>
          <w:i/>
          <w:color w:val="44546A"/>
          <w:sz w:val="18"/>
          <w:szCs w:val="18"/>
        </w:rPr>
        <w:t>Figure 3. Schematic of the FIR laser. The main components include the front/rear mirror, metallic mesh, and laser cavity</w:t>
      </w:r>
    </w:p>
    <w:p w14:paraId="4857066B" w14:textId="01858EF5" w:rsidR="00B91178" w:rsidRDefault="00087E2C">
      <w:pPr>
        <w:jc w:val="both"/>
      </w:pPr>
      <w:r>
        <w:lastRenderedPageBreak/>
        <w:t xml:space="preserve">Figure 4 presents a schematic of the feed-in system, detailing the optical path and key components including steering mirrors, focusing optics, beam splitters, and power monitoring detectors.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7777777"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Pr>
          <w:color w:val="FF0000"/>
        </w:rPr>
        <w:t>(NSTX-U density)</w:t>
      </w:r>
      <w:r>
        <w:t xml:space="preserve">. 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246DC47" w:rsidR="00B91178" w:rsidRDefault="00087E2C">
      <w:pPr>
        <w:jc w:val="both"/>
      </w:pPr>
      <w:r>
        <w:t>The high-k scattering system launch beam laser stands in the</w:t>
      </w:r>
      <w:r w:rsidR="00E00BF8">
        <w:t xml:space="preserve"> laser cage</w:t>
      </w:r>
      <w:r>
        <w:t xml:space="preserve"> area</w:t>
      </w:r>
      <w:r w:rsidR="00E00BF8">
        <w:t>, as Fig. 5</w:t>
      </w:r>
      <w:r>
        <w:t xml:space="preserve">, which is far away from the NSTX-U vessel. The long-distance (20 m) waveguide is used as the transmission line for launch beam delivery, which requires a high-quality coupling beam profile for insertion loss minimization. The NSTX-U high-k scattering diagnostics require a 693 GHz beam with at least 10 mW power at the transmission line’s end (near the NSTX-U window) to achieve a signal-to-noise ratio greater than 10. Ensuring a high-quality FIR laser output beam profile is essential for maximizing coupling efficiency across the transmission line, which includes the coupling optics and long-distance beam propagation. As demonstrated in </w:t>
      </w:r>
      <w:r w:rsidRPr="002D65BF">
        <w:rPr>
          <w:color w:val="FF0000"/>
        </w:rPr>
        <w:t>Ref. xx</w:t>
      </w:r>
      <w:r>
        <w:t xml:space="preserve">, 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9"/>
                    <a:stretch>
                      <a:fillRect/>
                    </a:stretch>
                  </pic:blipFill>
                  <pic:spPr>
                    <a:xfrm>
                      <a:off x="0" y="0"/>
                      <a:ext cx="4745648" cy="4774041"/>
                    </a:xfrm>
                    <a:prstGeom prst="rect">
                      <a:avLst/>
                    </a:prstGeom>
                  </pic:spPr>
                </pic:pic>
              </a:graphicData>
            </a:graphic>
          </wp:inline>
        </w:drawing>
      </w:r>
    </w:p>
    <w:p w14:paraId="606B2DB1" w14:textId="597A4C7F"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The FIReTIP FIR laser is generated at the laser cage area, then transmits to NSTX-U vessel through transmission line waveguides. The green line stands for the FIReTIP beam transmission line. The red line stands for the high-k scattering beam transmission line.</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w:t>
      </w:r>
      <w:r>
        <w:lastRenderedPageBreak/>
        <w:t>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404687B5"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w:t>
      </w:r>
      <w:r>
        <w:lastRenderedPageBreak/>
        <w:t xml:space="preserve">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6D50EA">
        <w:t xml:space="preserve">the </w:t>
      </w:r>
      <w:r>
        <w:t>optical axis.</w:t>
      </w:r>
    </w:p>
    <w:p w14:paraId="62D202EF" w14:textId="49EF3BC0" w:rsidR="00B91178" w:rsidRDefault="00087E2C" w:rsidP="002D65BF">
      <w:pPr>
        <w:ind w:firstLine="360"/>
        <w:jc w:val="both"/>
      </w:pPr>
      <w:r>
        <w:t>The front mirror (designated as #</w:t>
      </w:r>
      <w:r w:rsidR="006D50EA">
        <w:t xml:space="preserve"> </w:t>
      </w:r>
      <w:r>
        <w:t>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403600"/>
                    </a:xfrm>
                    <a:prstGeom prst="rect">
                      <a:avLst/>
                    </a:prstGeom>
                    <a:ln/>
                  </pic:spPr>
                </pic:pic>
              </a:graphicData>
            </a:graphic>
          </wp:inline>
        </w:drawing>
      </w:r>
    </w:p>
    <w:p w14:paraId="309539F9" w14:textId="25F229D5"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14:paraId="63F63A28" w14:textId="723AAF8D" w:rsidR="006D50EA" w:rsidRDefault="006D50EA" w:rsidP="006D50EA">
      <w:pPr>
        <w:ind w:firstLine="360"/>
        <w:jc w:val="both"/>
      </w:pPr>
      <w:r>
        <w:t>The CO</w:t>
      </w:r>
      <w:r w:rsidRPr="002D65BF">
        <w:rPr>
          <w:vertAlign w:val="subscript"/>
        </w:rPr>
        <w:t>2</w:t>
      </w:r>
      <w:r>
        <w:t xml:space="preserve"> laser input and FIR laser output windows (designated # 4 in Fig. 6) are installed as the final components. These windows are automatically aligned through their precise mechanical coupling with </w:t>
      </w:r>
      <w:r>
        <w:lastRenderedPageBreak/>
        <w:t xml:space="preserve">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2"/>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3"/>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4A7A88C6" w:rsidR="00B91178" w:rsidRDefault="00087E2C">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The CO₂ laser subsystem delivers a stable 150 W output after a 60-minute warm-up period, with active cavity length optimization maintained </w:t>
      </w:r>
      <w:r w:rsidR="000C2633">
        <w:t>by</w:t>
      </w:r>
      <w:r>
        <w:t xml:space="preserve"> piezoelectric actuators.</w:t>
      </w:r>
    </w:p>
    <w:p w14:paraId="3AB4163C" w14:textId="3B0EC766" w:rsidR="00B91178" w:rsidRDefault="00087E2C">
      <w:pPr>
        <w:pBdr>
          <w:top w:val="nil"/>
          <w:left w:val="nil"/>
          <w:bottom w:val="nil"/>
          <w:right w:val="nil"/>
          <w:between w:val="nil"/>
        </w:pBdr>
        <w:jc w:val="both"/>
      </w:pPr>
      <w:r>
        <w:lastRenderedPageBreak/>
        <w:t xml:space="preserve">To maximize coupling efficiency, we implemented a precision alignment protocol using a visible HeNe laser as a reference beam, enabling accurate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77777777" w:rsidR="00B91178" w:rsidRDefault="00087E2C">
      <w:pPr>
        <w:jc w:val="both"/>
      </w:pPr>
      <w:r>
        <w:t xml:space="preserve">While maximizing power output is important, maintaining stable power output is even more important because it directly impacts the signal level and signal-to-noise ratio of NSTX-U high-k scattering diagnostics. 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3DD22DA9"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4"/>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233A3E90"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5"/>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6"/>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EEE969C"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12,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34793" cy="2641477"/>
                    </a:xfrm>
                    <a:prstGeom prst="rect">
                      <a:avLst/>
                    </a:prstGeom>
                    <a:ln/>
                  </pic:spPr>
                </pic:pic>
              </a:graphicData>
            </a:graphic>
          </wp:inline>
        </w:drawing>
      </w:r>
    </w:p>
    <w:p w14:paraId="06DA4C7C" w14:textId="28A5C72A"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p>
    <w:p w14:paraId="655E001B" w14:textId="73CC2CA8" w:rsidR="00931CD0" w:rsidRDefault="00087E2C" w:rsidP="00931CD0">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commentRangeStart w:id="15"/>
      <w:commentRangeStart w:id="16"/>
      <w:commentRangeStart w:id="17"/>
      <w:commentRangeEnd w:id="15"/>
      <w:r w:rsidR="002D65BF">
        <w:rPr>
          <w:rStyle w:val="CommentReference"/>
        </w:rPr>
        <w:commentReference w:id="15"/>
      </w:r>
      <w:commentRangeEnd w:id="16"/>
      <w:r w:rsidR="00867228">
        <w:rPr>
          <w:rStyle w:val="CommentReference"/>
        </w:rPr>
        <w:commentReference w:id="16"/>
      </w:r>
      <w:commentRangeEnd w:id="17"/>
      <w:r w:rsidR="00867228">
        <w:rPr>
          <w:rStyle w:val="CommentReference"/>
        </w:rPr>
        <w:commentReference w:id="17"/>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8" w:name="_heading=h.j5n1b22gqc44" w:colFirst="0" w:colLast="0"/>
      <w:bookmarkEnd w:id="18"/>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bookmarkStart w:id="19" w:name="_GoBack"/>
      <w:bookmarkEnd w:id="19"/>
    </w:p>
    <w:p w14:paraId="1F90BA11" w14:textId="77777777" w:rsidR="00B91178" w:rsidRDefault="00087E2C">
      <w:pPr>
        <w:ind w:firstLine="0"/>
      </w:pPr>
      <w:r>
        <w:rPr>
          <w:b/>
        </w:rPr>
        <w:t>V: Summary</w:t>
      </w:r>
    </w:p>
    <w:p w14:paraId="0E3EE18A" w14:textId="6CC4858D" w:rsidR="00B91178" w:rsidRDefault="00087E2C">
      <w:pPr>
        <w:jc w:val="both"/>
      </w:pPr>
      <w:r>
        <w:t>The NSTX-U high-k scattering diagnostics require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1D5F29ED" w14:textId="77777777" w:rsidR="00B91178" w:rsidRDefault="00B91178" w:rsidP="001867E4">
      <w:pPr>
        <w:ind w:firstLine="0"/>
      </w:pPr>
    </w:p>
    <w:p w14:paraId="66D824D0" w14:textId="77777777" w:rsidR="00B91178" w:rsidRDefault="00B91178">
      <w:pPr>
        <w:ind w:firstLine="0"/>
        <w:rPr>
          <w:b/>
        </w:rPr>
      </w:pPr>
    </w:p>
    <w:p w14:paraId="0D0936DA" w14:textId="77777777" w:rsidR="00B91178" w:rsidRDefault="00B91178">
      <w:pPr>
        <w:keepNext/>
        <w:jc w:val="center"/>
      </w:pP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Yilun Zhu" w:date="2025-07-04T01:04:00Z" w:initials="YZ">
    <w:p w14:paraId="0F269D1D" w14:textId="3AD97350" w:rsidR="002D65BF" w:rsidRDefault="002D65BF" w:rsidP="002D65BF">
      <w:r>
        <w:rPr>
          <w:rStyle w:val="CommentReference"/>
        </w:rPr>
        <w:annotationRef/>
      </w:r>
      <w:r>
        <w:rPr>
          <w:color w:val="000000"/>
          <w:sz w:val="20"/>
          <w:szCs w:val="20"/>
        </w:rPr>
        <w:t>Please normalized them. The Y axis would based on 100%. The most important point for this figure is percentage difference, not absolute power.</w:t>
      </w:r>
    </w:p>
  </w:comment>
  <w:comment w:id="16" w:author="mmwave" w:date="2025-07-06T12:52:00Z" w:initials="m">
    <w:p w14:paraId="27D313B9" w14:textId="185BBD32" w:rsidR="00867228" w:rsidRDefault="00867228">
      <w:pPr>
        <w:pStyle w:val="CommentText"/>
      </w:pPr>
      <w:r>
        <w:rPr>
          <w:rStyle w:val="CommentReference"/>
        </w:rPr>
        <w:annotationRef/>
      </w:r>
      <w:r>
        <w:t xml:space="preserve">Thank </w:t>
      </w:r>
      <w:r w:rsidR="0025642E">
        <w:t>you,</w:t>
      </w:r>
      <w:r>
        <w:t xml:space="preserve"> I have modif</w:t>
      </w:r>
      <w:r w:rsidR="0025642E">
        <w:t>ied</w:t>
      </w:r>
      <w:r>
        <w:t xml:space="preserve"> the figure axis to relative power difference</w:t>
      </w:r>
    </w:p>
  </w:comment>
  <w:comment w:id="17" w:author="mmwave" w:date="2025-07-06T12:53:00Z" w:initials="m">
    <w:p w14:paraId="63997A1E" w14:textId="11EECC02" w:rsidR="00867228" w:rsidRDefault="0086722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269D1D" w15:done="1"/>
  <w15:commentEx w15:paraId="27D313B9" w15:paraIdParent="0F269D1D" w15:done="1"/>
  <w15:commentEx w15:paraId="63997A1E" w15:paraIdParent="0F269D1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269D1D" w16cid:durableId="11F4BA47"/>
  <w16cid:commentId w16cid:paraId="27D313B9" w16cid:durableId="2C14EFFF"/>
  <w16cid:commentId w16cid:paraId="63997A1E" w16cid:durableId="2C14F0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87E2C"/>
    <w:rsid w:val="000C2633"/>
    <w:rsid w:val="001867E4"/>
    <w:rsid w:val="0025642E"/>
    <w:rsid w:val="002D65BF"/>
    <w:rsid w:val="002D74F4"/>
    <w:rsid w:val="0032637B"/>
    <w:rsid w:val="004F1D49"/>
    <w:rsid w:val="005541EC"/>
    <w:rsid w:val="00602B03"/>
    <w:rsid w:val="006C6B74"/>
    <w:rsid w:val="006D50EA"/>
    <w:rsid w:val="00852C21"/>
    <w:rsid w:val="00867228"/>
    <w:rsid w:val="008D1E15"/>
    <w:rsid w:val="009309AC"/>
    <w:rsid w:val="00931CD0"/>
    <w:rsid w:val="00A53692"/>
    <w:rsid w:val="00B91178"/>
    <w:rsid w:val="00C51FD6"/>
    <w:rsid w:val="00C83E1D"/>
    <w:rsid w:val="00E00BF8"/>
    <w:rsid w:val="00E94957"/>
    <w:rsid w:val="00F365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omments" Target="comments.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microsoft.com/office/2011/relationships/people" Target="people.xml"/><Relationship Id="rId10" Type="http://schemas.openxmlformats.org/officeDocument/2006/relationships/image" Target="media/image6.png"/><Relationship Id="rId19"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4224</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3</cp:revision>
  <dcterms:created xsi:type="dcterms:W3CDTF">2025-07-07T04:59:00Z</dcterms:created>
  <dcterms:modified xsi:type="dcterms:W3CDTF">2025-07-07T16:08:00Z</dcterms:modified>
</cp:coreProperties>
</file>